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7E" w:rsidRDefault="006E397E" w:rsidP="006E397E">
      <w:pPr>
        <w:spacing w:after="283"/>
        <w:jc w:val="center"/>
      </w:pPr>
      <w:r>
        <w:rPr>
          <w:b/>
        </w:rPr>
        <w:t>СВЕДЕНИЯ О ВЕДУЩЕЙ ОРГАНИЗАЦИИ</w:t>
      </w:r>
    </w:p>
    <w:p w:rsidR="006E397E" w:rsidRPr="006E397E" w:rsidRDefault="006E397E" w:rsidP="006E397E">
      <w:pPr>
        <w:ind w:firstLine="567"/>
        <w:jc w:val="center"/>
        <w:rPr>
          <w:color w:val="000000"/>
        </w:rPr>
      </w:pPr>
      <w:r>
        <w:rPr>
          <w:color w:val="000000"/>
        </w:rPr>
        <w:t>и список основных публикаций ее сотрудников в рецензируемых научных</w:t>
      </w:r>
      <w:r>
        <w:rPr>
          <w:color w:val="000000"/>
        </w:rPr>
        <w:br/>
        <w:t>изданиях за последние 5 лет по теме диссертации</w:t>
      </w:r>
    </w:p>
    <w:p w:rsidR="006E397E" w:rsidRPr="006329CC" w:rsidRDefault="00616824" w:rsidP="006E397E">
      <w:pPr>
        <w:ind w:firstLine="567"/>
        <w:jc w:val="center"/>
        <w:rPr>
          <w:color w:val="000000"/>
        </w:rPr>
      </w:pPr>
      <w:r w:rsidRPr="00616824">
        <w:t>Легкого Алексея Андреевича</w:t>
      </w:r>
      <w:r w:rsidR="006754FE">
        <w:rPr>
          <w:color w:val="000000"/>
        </w:rPr>
        <w:br/>
        <w:t>«</w:t>
      </w:r>
      <w:r w:rsidRPr="00616824">
        <w:t>Вычислительная биомеханика сердца: сократительная активность миокарда и диастолическое состояние аортального клапана</w:t>
      </w:r>
      <w:r w:rsidR="006754FE">
        <w:rPr>
          <w:color w:val="000000"/>
        </w:rPr>
        <w:t xml:space="preserve">» </w:t>
      </w:r>
      <w:r w:rsidR="006E397E">
        <w:rPr>
          <w:color w:val="000000"/>
        </w:rPr>
        <w:t>на соискание учёной степени 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D7757C" w:rsidRPr="00DE5E1D" w:rsidRDefault="00D7757C" w:rsidP="006E397E">
      <w:pPr>
        <w:jc w:val="both"/>
        <w:rPr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4218"/>
        <w:gridCol w:w="5352"/>
      </w:tblGrid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482FB1" w:rsidRDefault="00616824" w:rsidP="00616824">
            <w:pPr>
              <w:jc w:val="center"/>
              <w:rPr>
                <w:i/>
                <w:sz w:val="28"/>
                <w:szCs w:val="28"/>
              </w:rPr>
            </w:pPr>
            <w:r w:rsidRPr="00616824">
              <w:rPr>
                <w:sz w:val="28"/>
                <w:szCs w:val="28"/>
              </w:rPr>
              <w:t>Федеральное государственное бюджетное учреждение науки Институт иммунологии и физиологии Уральского отделения Российской академии наук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482FB1" w:rsidRDefault="00616824">
            <w:pPr>
              <w:jc w:val="center"/>
              <w:rPr>
                <w:iCs/>
                <w:sz w:val="28"/>
                <w:szCs w:val="28"/>
              </w:rPr>
            </w:pPr>
            <w:r w:rsidRPr="00616824">
              <w:rPr>
                <w:sz w:val="28"/>
                <w:szCs w:val="28"/>
                <w:lang w:eastAsia="en-US"/>
              </w:rPr>
              <w:t xml:space="preserve">ИИФ </w:t>
            </w:r>
            <w:proofErr w:type="spellStart"/>
            <w:r w:rsidRPr="00616824">
              <w:rPr>
                <w:sz w:val="28"/>
                <w:szCs w:val="28"/>
                <w:lang w:eastAsia="en-US"/>
              </w:rPr>
              <w:t>УрО</w:t>
            </w:r>
            <w:proofErr w:type="spellEnd"/>
            <w:r w:rsidRPr="00616824">
              <w:rPr>
                <w:sz w:val="28"/>
                <w:szCs w:val="28"/>
                <w:lang w:eastAsia="en-US"/>
              </w:rPr>
              <w:t xml:space="preserve"> РАН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F703E8" w:rsidP="009048E9">
            <w:pPr>
              <w:jc w:val="center"/>
              <w:rPr>
                <w:sz w:val="28"/>
                <w:szCs w:val="28"/>
              </w:rPr>
            </w:pPr>
            <w:r w:rsidRPr="00F703E8">
              <w:rPr>
                <w:color w:val="333333"/>
                <w:sz w:val="28"/>
                <w:szCs w:val="28"/>
                <w:shd w:val="clear" w:color="auto" w:fill="FFFFFF"/>
              </w:rPr>
              <w:t xml:space="preserve">Федеральное </w:t>
            </w:r>
            <w:r w:rsidR="009048E9" w:rsidRPr="00F703E8">
              <w:rPr>
                <w:bCs/>
                <w:color w:val="333333"/>
                <w:sz w:val="28"/>
                <w:szCs w:val="28"/>
                <w:shd w:val="clear" w:color="auto" w:fill="FFFFFF"/>
              </w:rPr>
              <w:t>государственное</w:t>
            </w:r>
            <w:r w:rsidRPr="00F703E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048E9" w:rsidRPr="00F703E8">
              <w:rPr>
                <w:color w:val="333333"/>
                <w:sz w:val="28"/>
                <w:szCs w:val="28"/>
                <w:shd w:val="clear" w:color="auto" w:fill="FFFFFF"/>
              </w:rPr>
              <w:t>бюджетное учреждение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</w:p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E3610A">
            <w:pPr>
              <w:jc w:val="center"/>
              <w:rPr>
                <w:sz w:val="28"/>
                <w:szCs w:val="28"/>
              </w:rPr>
            </w:pPr>
            <w:r w:rsidRPr="00F703E8">
              <w:rPr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E3610A">
            <w:pPr>
              <w:jc w:val="center"/>
              <w:rPr>
                <w:sz w:val="28"/>
                <w:szCs w:val="28"/>
              </w:rPr>
            </w:pPr>
            <w:r w:rsidRPr="00F703E8">
              <w:rPr>
                <w:sz w:val="28"/>
                <w:szCs w:val="28"/>
              </w:rPr>
              <w:t>Федеральное государственное бюджетное учреждение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616824" w:rsidRDefault="00616824" w:rsidP="00F703E8">
            <w:pPr>
              <w:jc w:val="center"/>
              <w:rPr>
                <w:iCs/>
                <w:sz w:val="28"/>
                <w:szCs w:val="28"/>
              </w:rPr>
            </w:pPr>
            <w:r w:rsidRPr="00616824">
              <w:rPr>
                <w:sz w:val="28"/>
                <w:szCs w:val="28"/>
                <w:lang w:eastAsia="en-US"/>
              </w:rPr>
              <w:t xml:space="preserve">620078, г. Екатеринбург ул. </w:t>
            </w:r>
            <w:proofErr w:type="gramStart"/>
            <w:r w:rsidRPr="00616824">
              <w:rPr>
                <w:sz w:val="28"/>
                <w:szCs w:val="28"/>
                <w:lang w:eastAsia="en-US"/>
              </w:rPr>
              <w:t>Первомайская</w:t>
            </w:r>
            <w:proofErr w:type="gramEnd"/>
            <w:r w:rsidRPr="00616824">
              <w:rPr>
                <w:sz w:val="28"/>
                <w:szCs w:val="28"/>
                <w:lang w:eastAsia="en-US"/>
              </w:rPr>
              <w:t>, стр.106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616824" w:rsidP="00F703E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16824">
              <w:rPr>
                <w:color w:val="000000"/>
                <w:sz w:val="28"/>
                <w:szCs w:val="28"/>
                <w:shd w:val="clear" w:color="auto" w:fill="FFFFFF"/>
              </w:rPr>
              <w:t>+7 (343) 374-00-70</w:t>
            </w:r>
          </w:p>
        </w:tc>
      </w:tr>
      <w:tr w:rsidR="00D7757C" w:rsidRPr="00616824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616824" w:rsidRDefault="00616824" w:rsidP="00F703E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616824">
              <w:rPr>
                <w:sz w:val="28"/>
                <w:szCs w:val="28"/>
                <w:lang w:val="en-US"/>
              </w:rPr>
              <w:t>iip@iip.uran.ru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Веб-сайт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616824" w:rsidRDefault="00616824" w:rsidP="00F703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https</w:t>
            </w:r>
            <w:r w:rsidRPr="00616824">
              <w:rPr>
                <w:iCs/>
                <w:sz w:val="28"/>
                <w:szCs w:val="28"/>
              </w:rPr>
              <w:t>://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iip</w:t>
            </w:r>
            <w:proofErr w:type="spellEnd"/>
            <w:r w:rsidRPr="00616824">
              <w:rPr>
                <w:iCs/>
                <w:sz w:val="28"/>
                <w:szCs w:val="28"/>
              </w:rPr>
              <w:t>.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uran</w:t>
            </w:r>
            <w:proofErr w:type="spellEnd"/>
            <w:r w:rsidRPr="00616824">
              <w:rPr>
                <w:iCs/>
                <w:sz w:val="28"/>
                <w:szCs w:val="28"/>
              </w:rPr>
              <w:t>.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ru</w:t>
            </w:r>
            <w:proofErr w:type="spellEnd"/>
            <w:r w:rsidRPr="00616824">
              <w:rPr>
                <w:iCs/>
                <w:sz w:val="28"/>
                <w:szCs w:val="28"/>
              </w:rPr>
              <w:t>/</w:t>
            </w:r>
          </w:p>
        </w:tc>
      </w:tr>
    </w:tbl>
    <w:p w:rsidR="00D7757C" w:rsidRDefault="00D7757C">
      <w:pPr>
        <w:ind w:firstLine="708"/>
        <w:jc w:val="both"/>
        <w:rPr>
          <w:sz w:val="28"/>
          <w:szCs w:val="28"/>
        </w:rPr>
      </w:pPr>
    </w:p>
    <w:p w:rsidR="00D7757C" w:rsidRPr="00A85D4B" w:rsidRDefault="00E3610A">
      <w:pPr>
        <w:jc w:val="center"/>
        <w:rPr>
          <w:sz w:val="28"/>
          <w:szCs w:val="28"/>
        </w:rPr>
      </w:pPr>
      <w:r w:rsidRPr="00A85D4B">
        <w:rPr>
          <w:sz w:val="28"/>
          <w:szCs w:val="28"/>
        </w:rPr>
        <w:t>Список основных публикаций организации по теме диссертации соискателя</w:t>
      </w:r>
    </w:p>
    <w:p w:rsidR="00D7757C" w:rsidRPr="00A85D4B" w:rsidRDefault="00E3610A">
      <w:pPr>
        <w:jc w:val="center"/>
        <w:rPr>
          <w:sz w:val="28"/>
          <w:szCs w:val="28"/>
        </w:rPr>
      </w:pPr>
      <w:r w:rsidRPr="00A85D4B">
        <w:rPr>
          <w:sz w:val="28"/>
          <w:szCs w:val="28"/>
        </w:rPr>
        <w:t>в рецензируемых научных изданиях за последние 5 лет:</w:t>
      </w:r>
    </w:p>
    <w:p w:rsidR="002E06D9" w:rsidRPr="00616824" w:rsidRDefault="00616824" w:rsidP="002E06D9">
      <w:pPr>
        <w:numPr>
          <w:ilvl w:val="0"/>
          <w:numId w:val="1"/>
        </w:numPr>
        <w:spacing w:before="120"/>
        <w:ind w:left="0" w:firstLine="709"/>
        <w:jc w:val="both"/>
      </w:pPr>
      <w:r w:rsidRPr="00616824">
        <w:t xml:space="preserve">Нестерова Т.М., </w:t>
      </w:r>
      <w:proofErr w:type="gramStart"/>
      <w:r w:rsidRPr="00616824">
        <w:t>Кабак</w:t>
      </w:r>
      <w:proofErr w:type="gramEnd"/>
      <w:r w:rsidRPr="00616824">
        <w:t xml:space="preserve"> В.Ю., Лебедев Д.С., Соловьева О.Э. Математические модели и искусственный интеллект для исследования проблемы </w:t>
      </w:r>
      <w:proofErr w:type="spellStart"/>
      <w:r w:rsidRPr="00616824">
        <w:t>диссинхронии</w:t>
      </w:r>
      <w:proofErr w:type="spellEnd"/>
      <w:r w:rsidRPr="00616824">
        <w:t xml:space="preserve"> желудочков и улучшения эффективности сердечной </w:t>
      </w:r>
      <w:proofErr w:type="spellStart"/>
      <w:r w:rsidRPr="00616824">
        <w:t>ресинхронизирующей</w:t>
      </w:r>
      <w:proofErr w:type="spellEnd"/>
      <w:r w:rsidRPr="00616824">
        <w:t xml:space="preserve"> терапии // Росс</w:t>
      </w:r>
      <w:r>
        <w:t>ийский кардиологический журнал.</w:t>
      </w:r>
      <w:r w:rsidRPr="00616824">
        <w:t>– 2024. – Т. 29. – № 4S. – С. 28-70. – DOI: 10.15829/1560-4071-2024-6194</w:t>
      </w:r>
    </w:p>
    <w:p w:rsidR="00D507EE" w:rsidRDefault="00616824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t>Kursanov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Balakina-Vikulova</w:t>
      </w:r>
      <w:proofErr w:type="spellEnd"/>
      <w:r w:rsidRPr="00616824">
        <w:rPr>
          <w:lang w:val="en-US"/>
        </w:rPr>
        <w:t xml:space="preserve"> N.A., </w:t>
      </w:r>
      <w:proofErr w:type="spellStart"/>
      <w:r w:rsidRPr="00616824">
        <w:rPr>
          <w:lang w:val="en-US"/>
        </w:rPr>
        <w:t>Solovyova</w:t>
      </w:r>
      <w:proofErr w:type="spellEnd"/>
      <w:r w:rsidRPr="00616824">
        <w:rPr>
          <w:lang w:val="en-US"/>
        </w:rPr>
        <w:t xml:space="preserve"> O., </w:t>
      </w:r>
      <w:proofErr w:type="spellStart"/>
      <w:r w:rsidRPr="00616824">
        <w:rPr>
          <w:lang w:val="en-US"/>
        </w:rPr>
        <w:t>Panfilov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Katsnelson</w:t>
      </w:r>
      <w:proofErr w:type="spellEnd"/>
      <w:r w:rsidRPr="00616824">
        <w:rPr>
          <w:lang w:val="en-US"/>
        </w:rPr>
        <w:t xml:space="preserve"> L.B. In silico analysis of the contribution of cardiomyocyte-fibroblast electromechanical interaction to the arrhythmia // Frontiers in Physiology. – 2023. – V. 14. – 1123609. – DOI: 10.3389/fphys.2023.1123609</w:t>
      </w:r>
    </w:p>
    <w:p w:rsidR="002E06D9" w:rsidRPr="002E06D9" w:rsidRDefault="00616824" w:rsidP="002E06D9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t>Dokuchaev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Chumarnaya</w:t>
      </w:r>
      <w:proofErr w:type="spellEnd"/>
      <w:r w:rsidRPr="00616824">
        <w:rPr>
          <w:lang w:val="en-US"/>
        </w:rPr>
        <w:t xml:space="preserve"> T., </w:t>
      </w:r>
      <w:proofErr w:type="spellStart"/>
      <w:r w:rsidRPr="00616824">
        <w:rPr>
          <w:lang w:val="en-US"/>
        </w:rPr>
        <w:t>Bazhutina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Khamzin</w:t>
      </w:r>
      <w:proofErr w:type="spellEnd"/>
      <w:r w:rsidRPr="00616824">
        <w:rPr>
          <w:lang w:val="en-US"/>
        </w:rPr>
        <w:t xml:space="preserve"> S., </w:t>
      </w:r>
      <w:proofErr w:type="spellStart"/>
      <w:r w:rsidRPr="00616824">
        <w:rPr>
          <w:lang w:val="en-US"/>
        </w:rPr>
        <w:t>Lebedeva</w:t>
      </w:r>
      <w:proofErr w:type="spellEnd"/>
      <w:r w:rsidRPr="00616824">
        <w:rPr>
          <w:lang w:val="en-US"/>
        </w:rPr>
        <w:t xml:space="preserve"> V., </w:t>
      </w:r>
      <w:proofErr w:type="spellStart"/>
      <w:r w:rsidRPr="00616824">
        <w:rPr>
          <w:lang w:val="en-US"/>
        </w:rPr>
        <w:t>Lyubimtseva</w:t>
      </w:r>
      <w:proofErr w:type="spellEnd"/>
      <w:r w:rsidRPr="00616824">
        <w:rPr>
          <w:lang w:val="en-US"/>
        </w:rPr>
        <w:t xml:space="preserve"> T., </w:t>
      </w:r>
      <w:proofErr w:type="spellStart"/>
      <w:r w:rsidRPr="00616824">
        <w:rPr>
          <w:lang w:val="en-US"/>
        </w:rPr>
        <w:t>Zubarev</w:t>
      </w:r>
      <w:proofErr w:type="spellEnd"/>
      <w:r w:rsidRPr="00616824">
        <w:rPr>
          <w:lang w:val="en-US"/>
        </w:rPr>
        <w:t xml:space="preserve"> S., </w:t>
      </w:r>
      <w:proofErr w:type="spellStart"/>
      <w:r w:rsidRPr="00616824">
        <w:rPr>
          <w:lang w:val="en-US"/>
        </w:rPr>
        <w:t>Lebedev</w:t>
      </w:r>
      <w:proofErr w:type="spellEnd"/>
      <w:r w:rsidRPr="00616824">
        <w:rPr>
          <w:lang w:val="en-US"/>
        </w:rPr>
        <w:t xml:space="preserve"> D., </w:t>
      </w:r>
      <w:proofErr w:type="spellStart"/>
      <w:r w:rsidRPr="00616824">
        <w:rPr>
          <w:lang w:val="en-US"/>
        </w:rPr>
        <w:t>Solovyova</w:t>
      </w:r>
      <w:proofErr w:type="spellEnd"/>
      <w:r w:rsidRPr="00616824">
        <w:rPr>
          <w:lang w:val="en-US"/>
        </w:rPr>
        <w:t xml:space="preserve"> O. Combination of personalized computational modeling and machine learning for optimization of left ventricular pacing site in cardiac resynchronization therapy // Frontiers in Physiology. – 2023. – V.14. – 1162520. – DOI: 10.3389/fphys.2023.1162520</w:t>
      </w:r>
    </w:p>
    <w:p w:rsidR="00FE32C5" w:rsidRPr="00A85D4B" w:rsidRDefault="00616824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t>Albors</w:t>
      </w:r>
      <w:proofErr w:type="spellEnd"/>
      <w:r w:rsidRPr="00616824">
        <w:rPr>
          <w:lang w:val="en-US"/>
        </w:rPr>
        <w:t xml:space="preserve"> C., </w:t>
      </w:r>
      <w:proofErr w:type="spellStart"/>
      <w:r w:rsidRPr="00616824">
        <w:rPr>
          <w:lang w:val="en-US"/>
        </w:rPr>
        <w:t>Lluch</w:t>
      </w:r>
      <w:proofErr w:type="spellEnd"/>
      <w:r w:rsidRPr="00616824">
        <w:rPr>
          <w:lang w:val="en-US"/>
        </w:rPr>
        <w:t xml:space="preserve"> È., Gomez J.F., </w:t>
      </w:r>
      <w:proofErr w:type="spellStart"/>
      <w:r w:rsidRPr="00616824">
        <w:rPr>
          <w:lang w:val="en-US"/>
        </w:rPr>
        <w:t>Cedilnik</w:t>
      </w:r>
      <w:proofErr w:type="spellEnd"/>
      <w:r w:rsidRPr="00616824">
        <w:rPr>
          <w:lang w:val="en-US"/>
        </w:rPr>
        <w:t xml:space="preserve"> N., </w:t>
      </w:r>
      <w:proofErr w:type="spellStart"/>
      <w:r w:rsidRPr="00616824">
        <w:rPr>
          <w:lang w:val="en-US"/>
        </w:rPr>
        <w:t>Mountris</w:t>
      </w:r>
      <w:proofErr w:type="spellEnd"/>
      <w:r w:rsidRPr="00616824">
        <w:rPr>
          <w:lang w:val="en-US"/>
        </w:rPr>
        <w:t xml:space="preserve"> K.A., Mansi T., </w:t>
      </w:r>
      <w:proofErr w:type="spellStart"/>
      <w:r w:rsidRPr="00616824">
        <w:rPr>
          <w:lang w:val="en-US"/>
        </w:rPr>
        <w:t>Khamzin</w:t>
      </w:r>
      <w:proofErr w:type="spellEnd"/>
      <w:r w:rsidRPr="00616824">
        <w:rPr>
          <w:lang w:val="en-US"/>
        </w:rPr>
        <w:t xml:space="preserve"> S., </w:t>
      </w:r>
      <w:proofErr w:type="spellStart"/>
      <w:r w:rsidRPr="00616824">
        <w:rPr>
          <w:lang w:val="en-US"/>
        </w:rPr>
        <w:t>Dokuchaev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Solovyova</w:t>
      </w:r>
      <w:proofErr w:type="spellEnd"/>
      <w:r w:rsidRPr="00616824">
        <w:rPr>
          <w:lang w:val="en-US"/>
        </w:rPr>
        <w:t xml:space="preserve"> O., </w:t>
      </w:r>
      <w:proofErr w:type="spellStart"/>
      <w:r w:rsidRPr="00616824">
        <w:rPr>
          <w:lang w:val="en-US"/>
        </w:rPr>
        <w:t>Pueyo</w:t>
      </w:r>
      <w:proofErr w:type="spellEnd"/>
      <w:r w:rsidRPr="00616824">
        <w:rPr>
          <w:lang w:val="en-US"/>
        </w:rPr>
        <w:t xml:space="preserve"> E., </w:t>
      </w:r>
      <w:proofErr w:type="spellStart"/>
      <w:r w:rsidRPr="00616824">
        <w:rPr>
          <w:lang w:val="en-US"/>
        </w:rPr>
        <w:t>Sermesant</w:t>
      </w:r>
      <w:proofErr w:type="spellEnd"/>
      <w:r w:rsidRPr="00616824">
        <w:rPr>
          <w:lang w:val="en-US"/>
        </w:rPr>
        <w:t xml:space="preserve"> M., Sebastian R., Morales H.G., </w:t>
      </w:r>
      <w:proofErr w:type="spellStart"/>
      <w:r w:rsidRPr="00616824">
        <w:rPr>
          <w:lang w:val="en-US"/>
        </w:rPr>
        <w:t>Camara</w:t>
      </w:r>
      <w:proofErr w:type="spellEnd"/>
      <w:r w:rsidRPr="00616824">
        <w:rPr>
          <w:lang w:val="en-US"/>
        </w:rPr>
        <w:t xml:space="preserve"> O. Meshless electrophysiological modeling of cardiac resynchronization Therapy — Benchmark analysis with finite-element methods in experimental data // Applied Sciences. – 2022. – V. 12. – № 13. – 6438. – DOI: 10.3390/app12136438</w:t>
      </w:r>
    </w:p>
    <w:p w:rsidR="00D507EE" w:rsidRPr="00A85D4B" w:rsidRDefault="00616824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lastRenderedPageBreak/>
        <w:t>Balakina-Vikulova</w:t>
      </w:r>
      <w:proofErr w:type="spellEnd"/>
      <w:r w:rsidRPr="00616824">
        <w:rPr>
          <w:lang w:val="en-US"/>
        </w:rPr>
        <w:t xml:space="preserve"> N.A., </w:t>
      </w:r>
      <w:proofErr w:type="spellStart"/>
      <w:r w:rsidRPr="00616824">
        <w:rPr>
          <w:lang w:val="en-US"/>
        </w:rPr>
        <w:t>Katsnelson</w:t>
      </w:r>
      <w:proofErr w:type="spellEnd"/>
      <w:r w:rsidRPr="00616824">
        <w:rPr>
          <w:lang w:val="en-US"/>
        </w:rPr>
        <w:t xml:space="preserve"> L.B. Integrative mathematical model of electrical, metabolic and mechanical processes in human cardiomyocytes // Journal of Evolutionary Biochemistry and Physiology. – 2022. – V. 58. – № </w:t>
      </w:r>
      <w:proofErr w:type="spellStart"/>
      <w:r w:rsidRPr="00616824">
        <w:rPr>
          <w:lang w:val="en-US"/>
        </w:rPr>
        <w:t>Suppl</w:t>
      </w:r>
      <w:proofErr w:type="spellEnd"/>
      <w:r w:rsidRPr="00616824">
        <w:rPr>
          <w:lang w:val="en-US"/>
        </w:rPr>
        <w:t xml:space="preserve"> 1. – P. S107–S124. – DOI: 10.1134/S0022093022070122</w:t>
      </w:r>
    </w:p>
    <w:p w:rsidR="00D507EE" w:rsidRPr="00A85D4B" w:rsidRDefault="00616824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t>Khamzin</w:t>
      </w:r>
      <w:proofErr w:type="spellEnd"/>
      <w:r w:rsidRPr="00616824">
        <w:rPr>
          <w:lang w:val="en-US"/>
        </w:rPr>
        <w:t xml:space="preserve"> S., </w:t>
      </w:r>
      <w:proofErr w:type="spellStart"/>
      <w:r w:rsidRPr="00616824">
        <w:rPr>
          <w:lang w:val="en-US"/>
        </w:rPr>
        <w:t>Dokuchaev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Bazhutina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Chumarnaya</w:t>
      </w:r>
      <w:proofErr w:type="spellEnd"/>
      <w:r w:rsidRPr="00616824">
        <w:rPr>
          <w:lang w:val="en-US"/>
        </w:rPr>
        <w:t xml:space="preserve"> T., </w:t>
      </w:r>
      <w:proofErr w:type="spellStart"/>
      <w:r w:rsidRPr="00616824">
        <w:rPr>
          <w:lang w:val="en-US"/>
        </w:rPr>
        <w:t>Zubarev</w:t>
      </w:r>
      <w:proofErr w:type="spellEnd"/>
      <w:r w:rsidRPr="00616824">
        <w:rPr>
          <w:lang w:val="en-US"/>
        </w:rPr>
        <w:t xml:space="preserve"> S., </w:t>
      </w:r>
      <w:proofErr w:type="spellStart"/>
      <w:r w:rsidRPr="00616824">
        <w:rPr>
          <w:lang w:val="en-US"/>
        </w:rPr>
        <w:t>Lyubimtseva</w:t>
      </w:r>
      <w:proofErr w:type="spellEnd"/>
      <w:r w:rsidRPr="00616824">
        <w:rPr>
          <w:lang w:val="en-US"/>
        </w:rPr>
        <w:t xml:space="preserve"> T., </w:t>
      </w:r>
      <w:proofErr w:type="spellStart"/>
      <w:r w:rsidRPr="00616824">
        <w:rPr>
          <w:lang w:val="en-US"/>
        </w:rPr>
        <w:t>Lebedeva</w:t>
      </w:r>
      <w:proofErr w:type="spellEnd"/>
      <w:r w:rsidRPr="00616824">
        <w:rPr>
          <w:lang w:val="en-US"/>
        </w:rPr>
        <w:t xml:space="preserve"> V., </w:t>
      </w:r>
      <w:proofErr w:type="spellStart"/>
      <w:r w:rsidRPr="00616824">
        <w:rPr>
          <w:lang w:val="en-US"/>
        </w:rPr>
        <w:t>Lebedev</w:t>
      </w:r>
      <w:proofErr w:type="spellEnd"/>
      <w:r w:rsidRPr="00616824">
        <w:rPr>
          <w:lang w:val="en-US"/>
        </w:rPr>
        <w:t xml:space="preserve"> D., </w:t>
      </w:r>
      <w:proofErr w:type="spellStart"/>
      <w:r w:rsidRPr="00616824">
        <w:rPr>
          <w:lang w:val="en-US"/>
        </w:rPr>
        <w:t>Gurev</w:t>
      </w:r>
      <w:proofErr w:type="spellEnd"/>
      <w:r w:rsidRPr="00616824">
        <w:rPr>
          <w:lang w:val="en-US"/>
        </w:rPr>
        <w:t xml:space="preserve"> V.,  </w:t>
      </w:r>
      <w:proofErr w:type="spellStart"/>
      <w:r w:rsidRPr="00616824">
        <w:rPr>
          <w:lang w:val="en-US"/>
        </w:rPr>
        <w:t>Solovyova</w:t>
      </w:r>
      <w:proofErr w:type="spellEnd"/>
      <w:r w:rsidRPr="00616824">
        <w:rPr>
          <w:lang w:val="en-US"/>
        </w:rPr>
        <w:t xml:space="preserve"> O. Machine learning prediction of cardiac </w:t>
      </w:r>
      <w:proofErr w:type="spellStart"/>
      <w:r w:rsidRPr="00616824">
        <w:rPr>
          <w:lang w:val="en-US"/>
        </w:rPr>
        <w:t>resynchronisation</w:t>
      </w:r>
      <w:proofErr w:type="spellEnd"/>
      <w:r w:rsidRPr="00616824">
        <w:rPr>
          <w:lang w:val="en-US"/>
        </w:rPr>
        <w:t xml:space="preserve"> therapy response from combination of clinical and model-driven data // Frontiers in Physiology. – 2021. – V. 12. – 2283. – DOI: 10.3389/fphys.2021.753282</w:t>
      </w:r>
    </w:p>
    <w:p w:rsidR="006D043A" w:rsidRPr="00A85D4B" w:rsidRDefault="00616824" w:rsidP="00031C7D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t>Konovalov</w:t>
      </w:r>
      <w:proofErr w:type="spellEnd"/>
      <w:r w:rsidRPr="00616824">
        <w:rPr>
          <w:lang w:val="en-US"/>
        </w:rPr>
        <w:t xml:space="preserve"> P., </w:t>
      </w:r>
      <w:proofErr w:type="spellStart"/>
      <w:r w:rsidRPr="00616824">
        <w:rPr>
          <w:lang w:val="en-US"/>
        </w:rPr>
        <w:t>Mangileva</w:t>
      </w:r>
      <w:proofErr w:type="spellEnd"/>
      <w:r w:rsidRPr="00616824">
        <w:rPr>
          <w:lang w:val="en-US"/>
        </w:rPr>
        <w:t xml:space="preserve"> D., </w:t>
      </w:r>
      <w:proofErr w:type="spellStart"/>
      <w:r w:rsidRPr="00616824">
        <w:rPr>
          <w:lang w:val="en-US"/>
        </w:rPr>
        <w:t>Dokuchaev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Solovyova</w:t>
      </w:r>
      <w:proofErr w:type="spellEnd"/>
      <w:r w:rsidRPr="00616824">
        <w:rPr>
          <w:lang w:val="en-US"/>
        </w:rPr>
        <w:t xml:space="preserve"> O., </w:t>
      </w:r>
      <w:proofErr w:type="spellStart"/>
      <w:r w:rsidRPr="00616824">
        <w:rPr>
          <w:lang w:val="en-US"/>
        </w:rPr>
        <w:t>Panfilov</w:t>
      </w:r>
      <w:proofErr w:type="spellEnd"/>
      <w:r w:rsidRPr="00616824">
        <w:rPr>
          <w:lang w:val="en-US"/>
        </w:rPr>
        <w:t xml:space="preserve"> A. Rotational activity around an obstacle in 2D cardiac tissue in presence of cellular heterogeneity // Mathematics. – 2021. – V. </w:t>
      </w:r>
      <w:bookmarkStart w:id="0" w:name="_GoBack"/>
      <w:bookmarkEnd w:id="0"/>
      <w:r w:rsidRPr="00616824">
        <w:rPr>
          <w:lang w:val="en-US"/>
        </w:rPr>
        <w:t>9. – № 23. – 3090. – DOI: 10.3390/math9233090</w:t>
      </w:r>
    </w:p>
    <w:p w:rsidR="00031C7D" w:rsidRDefault="00616824" w:rsidP="00031C7D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t>Ushenin</w:t>
      </w:r>
      <w:proofErr w:type="spellEnd"/>
      <w:r w:rsidRPr="00616824">
        <w:rPr>
          <w:lang w:val="en-US"/>
        </w:rPr>
        <w:t xml:space="preserve"> K., Kalinin V., </w:t>
      </w:r>
      <w:proofErr w:type="spellStart"/>
      <w:r w:rsidRPr="00616824">
        <w:rPr>
          <w:lang w:val="en-US"/>
        </w:rPr>
        <w:t>Gitinova</w:t>
      </w:r>
      <w:proofErr w:type="spellEnd"/>
      <w:r w:rsidRPr="00616824">
        <w:rPr>
          <w:lang w:val="en-US"/>
        </w:rPr>
        <w:t xml:space="preserve"> S., </w:t>
      </w:r>
      <w:proofErr w:type="spellStart"/>
      <w:r w:rsidRPr="00616824">
        <w:rPr>
          <w:lang w:val="en-US"/>
        </w:rPr>
        <w:t>Sopov</w:t>
      </w:r>
      <w:proofErr w:type="spellEnd"/>
      <w:r w:rsidRPr="00616824">
        <w:rPr>
          <w:lang w:val="en-US"/>
        </w:rPr>
        <w:t xml:space="preserve"> O., </w:t>
      </w:r>
      <w:proofErr w:type="spellStart"/>
      <w:r w:rsidRPr="00616824">
        <w:rPr>
          <w:lang w:val="en-US"/>
        </w:rPr>
        <w:t>Solovyova</w:t>
      </w:r>
      <w:proofErr w:type="spellEnd"/>
      <w:r w:rsidRPr="00616824">
        <w:rPr>
          <w:lang w:val="en-US"/>
        </w:rPr>
        <w:t xml:space="preserve"> O. Parameter variations in personalized electrophysiological models of human heart ventricles // </w:t>
      </w:r>
      <w:proofErr w:type="spellStart"/>
      <w:r w:rsidRPr="00616824">
        <w:rPr>
          <w:lang w:val="en-US"/>
        </w:rPr>
        <w:t>Plos</w:t>
      </w:r>
      <w:proofErr w:type="spellEnd"/>
      <w:r w:rsidRPr="00616824">
        <w:rPr>
          <w:lang w:val="en-US"/>
        </w:rPr>
        <w:t xml:space="preserve"> One. – 2021. – V. 16. – № 4. – e0249062. – DOI: 10.1371/journal.pone.0249062</w:t>
      </w:r>
    </w:p>
    <w:p w:rsidR="00CB41BD" w:rsidRPr="00616824" w:rsidRDefault="00616824" w:rsidP="00616824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616824">
        <w:rPr>
          <w:lang w:val="en-US"/>
        </w:rPr>
        <w:t>Bazhutina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Balakina-Vikulova</w:t>
      </w:r>
      <w:proofErr w:type="spellEnd"/>
      <w:r w:rsidRPr="00616824">
        <w:rPr>
          <w:lang w:val="en-US"/>
        </w:rPr>
        <w:t xml:space="preserve"> N., </w:t>
      </w:r>
      <w:proofErr w:type="spellStart"/>
      <w:r w:rsidRPr="00616824">
        <w:rPr>
          <w:lang w:val="en-US"/>
        </w:rPr>
        <w:t>Kursanov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Solovyova</w:t>
      </w:r>
      <w:proofErr w:type="spellEnd"/>
      <w:r w:rsidRPr="00616824">
        <w:rPr>
          <w:lang w:val="en-US"/>
        </w:rPr>
        <w:t xml:space="preserve"> O., </w:t>
      </w:r>
      <w:proofErr w:type="spellStart"/>
      <w:r w:rsidRPr="00616824">
        <w:rPr>
          <w:lang w:val="en-US"/>
        </w:rPr>
        <w:t>Panfilov</w:t>
      </w:r>
      <w:proofErr w:type="spellEnd"/>
      <w:r w:rsidRPr="00616824">
        <w:rPr>
          <w:lang w:val="en-US"/>
        </w:rPr>
        <w:t xml:space="preserve"> A., </w:t>
      </w:r>
      <w:proofErr w:type="spellStart"/>
      <w:r w:rsidRPr="00616824">
        <w:rPr>
          <w:lang w:val="en-US"/>
        </w:rPr>
        <w:t>Katsnelson</w:t>
      </w:r>
      <w:proofErr w:type="spellEnd"/>
      <w:r w:rsidRPr="00616824">
        <w:rPr>
          <w:lang w:val="en-US"/>
        </w:rPr>
        <w:t xml:space="preserve"> L.B. Mathematical modelling of the </w:t>
      </w:r>
      <w:proofErr w:type="spellStart"/>
      <w:r w:rsidRPr="00616824">
        <w:rPr>
          <w:lang w:val="en-US"/>
        </w:rPr>
        <w:t>mechano</w:t>
      </w:r>
      <w:proofErr w:type="spellEnd"/>
      <w:r w:rsidRPr="00616824">
        <w:rPr>
          <w:lang w:val="en-US"/>
        </w:rPr>
        <w:t xml:space="preserve">-electric coupling in the human cardiomyocyte electrically connected with fibroblasts // Progress in Biophysics and Molecular Biology. </w:t>
      </w:r>
      <w:r w:rsidRPr="00616824">
        <w:t>2021. – V. 159. – P. 46-57. – DOI: 10.1016/j.pbiomolbio.2020.08.003</w:t>
      </w:r>
    </w:p>
    <w:sectPr w:rsidR="00CB41BD" w:rsidRPr="00616824" w:rsidSect="00D7757C">
      <w:pgSz w:w="11906" w:h="16838"/>
      <w:pgMar w:top="851" w:right="850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057"/>
    <w:multiLevelType w:val="multilevel"/>
    <w:tmpl w:val="625E3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0003573"/>
    <w:multiLevelType w:val="multilevel"/>
    <w:tmpl w:val="8C343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757C"/>
    <w:rsid w:val="00031C7D"/>
    <w:rsid w:val="00126E4B"/>
    <w:rsid w:val="00150681"/>
    <w:rsid w:val="001D7E93"/>
    <w:rsid w:val="00230136"/>
    <w:rsid w:val="00280A21"/>
    <w:rsid w:val="002D5B50"/>
    <w:rsid w:val="002E06D9"/>
    <w:rsid w:val="00330DD1"/>
    <w:rsid w:val="00347D84"/>
    <w:rsid w:val="003C3B0C"/>
    <w:rsid w:val="003C3C4A"/>
    <w:rsid w:val="004129C8"/>
    <w:rsid w:val="00480515"/>
    <w:rsid w:val="00480B3D"/>
    <w:rsid w:val="00482FB1"/>
    <w:rsid w:val="00495446"/>
    <w:rsid w:val="004F02D0"/>
    <w:rsid w:val="00566765"/>
    <w:rsid w:val="0059266A"/>
    <w:rsid w:val="005960F7"/>
    <w:rsid w:val="005D47A5"/>
    <w:rsid w:val="00616824"/>
    <w:rsid w:val="00654F5A"/>
    <w:rsid w:val="006754FE"/>
    <w:rsid w:val="00694335"/>
    <w:rsid w:val="006D043A"/>
    <w:rsid w:val="006E397E"/>
    <w:rsid w:val="008700A3"/>
    <w:rsid w:val="008F4223"/>
    <w:rsid w:val="009048E9"/>
    <w:rsid w:val="0092094F"/>
    <w:rsid w:val="009B5179"/>
    <w:rsid w:val="009D248F"/>
    <w:rsid w:val="00A6761A"/>
    <w:rsid w:val="00A8205B"/>
    <w:rsid w:val="00A85D4B"/>
    <w:rsid w:val="00AC31B5"/>
    <w:rsid w:val="00B12547"/>
    <w:rsid w:val="00BB422D"/>
    <w:rsid w:val="00CB41BD"/>
    <w:rsid w:val="00CC143D"/>
    <w:rsid w:val="00D507EE"/>
    <w:rsid w:val="00D7757C"/>
    <w:rsid w:val="00DA75EC"/>
    <w:rsid w:val="00DB563B"/>
    <w:rsid w:val="00DE5E1D"/>
    <w:rsid w:val="00DF126A"/>
    <w:rsid w:val="00E16C22"/>
    <w:rsid w:val="00E3610A"/>
    <w:rsid w:val="00E90F40"/>
    <w:rsid w:val="00EC28D2"/>
    <w:rsid w:val="00F00446"/>
    <w:rsid w:val="00F703E8"/>
    <w:rsid w:val="00F773E2"/>
    <w:rsid w:val="00FD7E1F"/>
    <w:rsid w:val="00FE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74E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qFormat/>
    <w:rsid w:val="005E6991"/>
  </w:style>
  <w:style w:type="character" w:styleId="a5">
    <w:name w:val="Emphasis"/>
    <w:qFormat/>
    <w:rsid w:val="00D7757C"/>
    <w:rPr>
      <w:i/>
      <w:iCs/>
    </w:rPr>
  </w:style>
  <w:style w:type="paragraph" w:customStyle="1" w:styleId="Heading">
    <w:name w:val="Heading"/>
    <w:basedOn w:val="a"/>
    <w:next w:val="a6"/>
    <w:qFormat/>
    <w:rsid w:val="00D7757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74E54"/>
    <w:pPr>
      <w:spacing w:after="120"/>
    </w:pPr>
    <w:rPr>
      <w:lang w:val="en-US" w:eastAsia="en-US"/>
    </w:rPr>
  </w:style>
  <w:style w:type="paragraph" w:styleId="a7">
    <w:name w:val="List"/>
    <w:basedOn w:val="a6"/>
    <w:rsid w:val="00D7757C"/>
    <w:rPr>
      <w:rFonts w:cs="Lohit Devanagari"/>
    </w:rPr>
  </w:style>
  <w:style w:type="paragraph" w:customStyle="1" w:styleId="1">
    <w:name w:val="Название объекта1"/>
    <w:basedOn w:val="a"/>
    <w:qFormat/>
    <w:rsid w:val="00D7757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7757C"/>
    <w:pPr>
      <w:suppressLineNumbers/>
    </w:pPr>
    <w:rPr>
      <w:rFonts w:cs="Lohit Devanagari"/>
    </w:rPr>
  </w:style>
  <w:style w:type="paragraph" w:styleId="a8">
    <w:name w:val="Body Text Indent"/>
    <w:basedOn w:val="a"/>
    <w:uiPriority w:val="99"/>
    <w:semiHidden/>
    <w:unhideWhenUsed/>
    <w:rsid w:val="00674E54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AC31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209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6C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C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nchor-text">
    <w:name w:val="anchor-text"/>
    <w:basedOn w:val="a0"/>
    <w:rsid w:val="0003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21</cp:revision>
  <cp:lastPrinted>2022-07-19T13:36:00Z</cp:lastPrinted>
  <dcterms:created xsi:type="dcterms:W3CDTF">2023-07-12T11:04:00Z</dcterms:created>
  <dcterms:modified xsi:type="dcterms:W3CDTF">2025-06-10T15:50:00Z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